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229"/>
      </w:tblGrid>
      <w:tr w:rsidR="008E3A37" w:rsidRPr="008F0E66" w:rsidTr="008E3A37">
        <w:trPr>
          <w:trHeight w:val="850"/>
        </w:trPr>
        <w:tc>
          <w:tcPr>
            <w:tcW w:w="2127" w:type="dxa"/>
          </w:tcPr>
          <w:p w:rsidR="008E3A37" w:rsidRPr="008F0E66" w:rsidRDefault="008E3A37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0E66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29" w:type="dxa"/>
          </w:tcPr>
          <w:p w:rsidR="008E3A37" w:rsidRPr="008F0E66" w:rsidRDefault="008E3A37" w:rsidP="003E6A8C">
            <w:pPr>
              <w:spacing w:after="0" w:line="240" w:lineRule="auto"/>
              <w:ind w:left="-2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guna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mengatur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tata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pihak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pihak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berkepentingan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agar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terpenuhi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dibutuhkan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sehingga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proses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SPJ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perencanaan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diajukan</w:t>
            </w:r>
            <w:proofErr w:type="spellEnd"/>
          </w:p>
          <w:p w:rsidR="008E3A37" w:rsidRPr="008F0E66" w:rsidRDefault="008E3A37" w:rsidP="003E6A8C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8E3A37" w:rsidRPr="008F0E66" w:rsidTr="008E3A37">
        <w:trPr>
          <w:trHeight w:val="368"/>
        </w:trPr>
        <w:tc>
          <w:tcPr>
            <w:tcW w:w="2127" w:type="dxa"/>
          </w:tcPr>
          <w:p w:rsidR="008E3A37" w:rsidRPr="008F0E66" w:rsidRDefault="008E3A37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F0E66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29" w:type="dxa"/>
          </w:tcPr>
          <w:p w:rsidR="008E3A37" w:rsidRPr="008F0E66" w:rsidRDefault="008E3A37" w:rsidP="003E6A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8F0E66">
              <w:rPr>
                <w:rFonts w:ascii="Arial" w:hAnsi="Arial" w:cs="Arial"/>
                <w:sz w:val="20"/>
                <w:szCs w:val="20"/>
                <w:lang w:val="es-ES_tradnl"/>
              </w:rPr>
              <w:t>Merencanakan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  <w:lang w:val="es-ES_tradnl"/>
              </w:rPr>
              <w:t>menganggarkan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  <w:lang w:val="es-ES_tradnl"/>
              </w:rPr>
              <w:t>mengidentifikasi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  <w:lang w:val="es-ES_tradnl"/>
              </w:rPr>
              <w:t>memproses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,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  <w:lang w:val="es-ES_tradnl"/>
              </w:rPr>
              <w:t>memantau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  <w:lang w:val="es-ES_tradnl"/>
              </w:rPr>
              <w:t>biaya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  <w:lang w:val="es-ES_tradnl"/>
              </w:rPr>
              <w:t>pengadaan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  <w:lang w:val="es-ES_tradnl"/>
              </w:rPr>
              <w:t>barang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dan jasa</w:t>
            </w:r>
          </w:p>
        </w:tc>
      </w:tr>
      <w:tr w:rsidR="008E3A37" w:rsidRPr="008F0E66" w:rsidTr="008E3A37">
        <w:trPr>
          <w:trHeight w:val="2382"/>
        </w:trPr>
        <w:tc>
          <w:tcPr>
            <w:tcW w:w="2127" w:type="dxa"/>
          </w:tcPr>
          <w:p w:rsidR="008E3A37" w:rsidRPr="008F0E66" w:rsidRDefault="008E3A37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F0E66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29" w:type="dxa"/>
          </w:tcPr>
          <w:p w:rsidR="008E3A37" w:rsidRPr="008F0E66" w:rsidRDefault="008E3A37" w:rsidP="008E3A37">
            <w:pPr>
              <w:pStyle w:val="ListParagraph"/>
              <w:numPr>
                <w:ilvl w:val="0"/>
                <w:numId w:val="1"/>
              </w:numPr>
              <w:ind w:left="259" w:hanging="183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Menteri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No.190/PMK.05/2012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Perjalanan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Dinas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Negeri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Pejabat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Negara,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Negeri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TetapSK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110A/UN27/KU/2012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Maksimum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PK-BLU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Universitas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Sebelas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Maret</w:t>
            </w:r>
            <w:proofErr w:type="spellEnd"/>
          </w:p>
          <w:p w:rsidR="008E3A37" w:rsidRPr="008F0E66" w:rsidRDefault="008E3A37" w:rsidP="008E3A37">
            <w:pPr>
              <w:pStyle w:val="ListParagraph"/>
              <w:numPr>
                <w:ilvl w:val="0"/>
                <w:numId w:val="1"/>
              </w:numPr>
              <w:ind w:left="259" w:hanging="183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ISO 9001:2008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Pasal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7.4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Pembelian</w:t>
            </w:r>
            <w:proofErr w:type="spellEnd"/>
          </w:p>
          <w:p w:rsidR="008E3A37" w:rsidRPr="008F0E66" w:rsidRDefault="008E3A37" w:rsidP="008E3A37">
            <w:pPr>
              <w:pStyle w:val="ListParagraph"/>
              <w:numPr>
                <w:ilvl w:val="0"/>
                <w:numId w:val="1"/>
              </w:numPr>
              <w:ind w:left="259" w:hanging="183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Peraturan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Presiden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70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 2012 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Perubahan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Kedua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Atas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Peraturan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Presiden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54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2010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Pengadaan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Barang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Jasa</w:t>
            </w:r>
            <w:proofErr w:type="spellEnd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Pemerintah</w:t>
            </w:r>
            <w:proofErr w:type="spellEnd"/>
          </w:p>
        </w:tc>
      </w:tr>
      <w:tr w:rsidR="008E3A37" w:rsidRPr="008F0E66" w:rsidTr="008E3A37">
        <w:trPr>
          <w:trHeight w:val="880"/>
        </w:trPr>
        <w:tc>
          <w:tcPr>
            <w:tcW w:w="2127" w:type="dxa"/>
          </w:tcPr>
          <w:p w:rsidR="008E3A37" w:rsidRPr="008F0E66" w:rsidRDefault="008E3A37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F0E66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29" w:type="dxa"/>
          </w:tcPr>
          <w:p w:rsidR="008E3A37" w:rsidRPr="008F0E66" w:rsidRDefault="008E3A37" w:rsidP="008F0E6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>Prosedur ini mencangkup proses pembayaran pengadaan barang dan jasa di atas 50 Juta Rupiah di Fakultas melalui mekanisme peraihan anggaran secara LS ( Langsung) kepada bagian keuangan  UNS</w:t>
            </w:r>
          </w:p>
        </w:tc>
      </w:tr>
      <w:tr w:rsidR="008E3A37" w:rsidRPr="008F0E66" w:rsidTr="008E3A37">
        <w:trPr>
          <w:trHeight w:val="549"/>
        </w:trPr>
        <w:tc>
          <w:tcPr>
            <w:tcW w:w="2127" w:type="dxa"/>
          </w:tcPr>
          <w:p w:rsidR="008E3A37" w:rsidRPr="008F0E66" w:rsidRDefault="008E3A37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F0E66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29" w:type="dxa"/>
          </w:tcPr>
          <w:p w:rsidR="008E3A37" w:rsidRPr="008F0E66" w:rsidRDefault="008E3A37" w:rsidP="003E6A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E3A37" w:rsidRPr="008F0E66" w:rsidTr="008E3A37">
        <w:trPr>
          <w:trHeight w:val="402"/>
        </w:trPr>
        <w:tc>
          <w:tcPr>
            <w:tcW w:w="2127" w:type="dxa"/>
          </w:tcPr>
          <w:p w:rsidR="008E3A37" w:rsidRPr="008F0E66" w:rsidRDefault="008E3A37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0E66">
              <w:rPr>
                <w:rFonts w:ascii="Arial" w:hAnsi="Arial" w:cs="Arial"/>
                <w:b/>
                <w:sz w:val="20"/>
                <w:szCs w:val="20"/>
              </w:rPr>
              <w:t>Sasaran</w:t>
            </w:r>
            <w:proofErr w:type="spellEnd"/>
            <w:r w:rsidRPr="008F0E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b/>
                <w:sz w:val="20"/>
                <w:szCs w:val="20"/>
              </w:rPr>
              <w:t>Kinerja</w:t>
            </w:r>
            <w:proofErr w:type="spellEnd"/>
          </w:p>
        </w:tc>
        <w:tc>
          <w:tcPr>
            <w:tcW w:w="7229" w:type="dxa"/>
          </w:tcPr>
          <w:p w:rsidR="008E3A37" w:rsidRPr="008F0E66" w:rsidRDefault="008E3A37" w:rsidP="003E6A8C">
            <w:pPr>
              <w:widowControl/>
              <w:autoSpaceDE w:val="0"/>
              <w:autoSpaceDN w:val="0"/>
              <w:adjustRightInd w:val="0"/>
              <w:spacing w:after="0" w:line="287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Proses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Pengajuan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benar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</w:p>
        </w:tc>
      </w:tr>
    </w:tbl>
    <w:p w:rsidR="001956AC" w:rsidRPr="008F0E66" w:rsidRDefault="00AF5B55">
      <w:pPr>
        <w:rPr>
          <w:rFonts w:ascii="Arial" w:hAnsi="Arial" w:cs="Arial"/>
          <w:sz w:val="20"/>
          <w:szCs w:val="20"/>
        </w:rPr>
      </w:pPr>
    </w:p>
    <w:p w:rsidR="008E3A37" w:rsidRPr="008F0E66" w:rsidRDefault="008E3A37" w:rsidP="008E3A37">
      <w:pPr>
        <w:tabs>
          <w:tab w:val="left" w:pos="129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F0E66">
        <w:rPr>
          <w:rFonts w:ascii="Arial" w:hAnsi="Arial" w:cs="Arial"/>
          <w:b/>
          <w:sz w:val="20"/>
          <w:szCs w:val="20"/>
        </w:rPr>
        <w:t>Uraian</w:t>
      </w:r>
      <w:proofErr w:type="spellEnd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3717"/>
        <w:gridCol w:w="1573"/>
        <w:gridCol w:w="1805"/>
        <w:gridCol w:w="1660"/>
      </w:tblGrid>
      <w:tr w:rsidR="008E3A37" w:rsidRPr="008F0E66" w:rsidTr="008F0E66">
        <w:tc>
          <w:tcPr>
            <w:tcW w:w="601" w:type="dxa"/>
            <w:shd w:val="clear" w:color="auto" w:fill="BFBFBF"/>
          </w:tcPr>
          <w:p w:rsidR="008E3A37" w:rsidRPr="008F0E66" w:rsidRDefault="008E3A37" w:rsidP="008F0E6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E6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717" w:type="dxa"/>
            <w:shd w:val="clear" w:color="auto" w:fill="BFBFBF"/>
          </w:tcPr>
          <w:p w:rsidR="008E3A37" w:rsidRPr="008F0E66" w:rsidRDefault="008E3A37" w:rsidP="008F0E6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F0E66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="008F0E66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8F0E66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573" w:type="dxa"/>
            <w:shd w:val="clear" w:color="auto" w:fill="BFBFBF"/>
          </w:tcPr>
          <w:p w:rsidR="008E3A37" w:rsidRPr="008F0E66" w:rsidRDefault="008E3A37" w:rsidP="008F0E6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F0E66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805" w:type="dxa"/>
            <w:shd w:val="clear" w:color="auto" w:fill="BFBFBF"/>
          </w:tcPr>
          <w:p w:rsidR="008E3A37" w:rsidRPr="008F0E66" w:rsidRDefault="008E3A37" w:rsidP="008F0E6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F0E66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660" w:type="dxa"/>
            <w:shd w:val="clear" w:color="auto" w:fill="BFBFBF"/>
          </w:tcPr>
          <w:p w:rsidR="008E3A37" w:rsidRPr="008F0E66" w:rsidRDefault="008E3A37" w:rsidP="008F0E6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F0E66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8E3A37" w:rsidRPr="008F0E66" w:rsidTr="008F0E66">
        <w:trPr>
          <w:trHeight w:val="485"/>
        </w:trPr>
        <w:tc>
          <w:tcPr>
            <w:tcW w:w="601" w:type="dxa"/>
          </w:tcPr>
          <w:p w:rsidR="008E3A37" w:rsidRPr="008F0E66" w:rsidRDefault="008E3A37" w:rsidP="008F0E66">
            <w:pPr>
              <w:pStyle w:val="ListParagraph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8E3A37" w:rsidRPr="008F0E66" w:rsidRDefault="008E3A37" w:rsidP="008F0E6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bagian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UMKAP</w:t>
            </w:r>
          </w:p>
        </w:tc>
        <w:tc>
          <w:tcPr>
            <w:tcW w:w="1573" w:type="dxa"/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>BPP</w:t>
            </w:r>
          </w:p>
        </w:tc>
        <w:tc>
          <w:tcPr>
            <w:tcW w:w="1805" w:type="dxa"/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proofErr w:type="gram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proofErr w:type="gram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 xml:space="preserve">. </w:t>
            </w:r>
          </w:p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60" w:type="dxa"/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</w:p>
        </w:tc>
      </w:tr>
      <w:tr w:rsidR="008E3A37" w:rsidRPr="008F0E66" w:rsidTr="008F0E66">
        <w:tc>
          <w:tcPr>
            <w:tcW w:w="601" w:type="dxa"/>
          </w:tcPr>
          <w:p w:rsidR="008E3A37" w:rsidRPr="008F0E66" w:rsidRDefault="008E3A37" w:rsidP="008F0E66">
            <w:pPr>
              <w:pStyle w:val="ListParagraph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8E3A37" w:rsidRPr="008F0E66" w:rsidRDefault="008E3A37" w:rsidP="008F0E6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Memverifikasi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melihat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alokasi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PAGU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1573" w:type="dxa"/>
          </w:tcPr>
          <w:p w:rsidR="008E3A37" w:rsidRPr="008F0E66" w:rsidRDefault="008E3A37" w:rsidP="008F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>BPP</w:t>
            </w:r>
          </w:p>
        </w:tc>
        <w:tc>
          <w:tcPr>
            <w:tcW w:w="1805" w:type="dxa"/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proofErr w:type="gram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proofErr w:type="gram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 xml:space="preserve">. </w:t>
            </w:r>
          </w:p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60" w:type="dxa"/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</w:p>
        </w:tc>
      </w:tr>
      <w:tr w:rsidR="008E3A37" w:rsidRPr="008F0E66" w:rsidTr="008F0E66">
        <w:tc>
          <w:tcPr>
            <w:tcW w:w="601" w:type="dxa"/>
          </w:tcPr>
          <w:p w:rsidR="008E3A37" w:rsidRPr="008F0E66" w:rsidRDefault="008E3A37" w:rsidP="008F0E66">
            <w:pPr>
              <w:pStyle w:val="ListParagraph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717" w:type="dxa"/>
          </w:tcPr>
          <w:p w:rsidR="008E3A37" w:rsidRPr="008F0E66" w:rsidRDefault="008E3A37" w:rsidP="008F0E6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>Mengalokasikan dalam PAGU anggaran</w:t>
            </w:r>
          </w:p>
        </w:tc>
        <w:tc>
          <w:tcPr>
            <w:tcW w:w="1573" w:type="dxa"/>
          </w:tcPr>
          <w:p w:rsidR="008E3A37" w:rsidRPr="008F0E66" w:rsidRDefault="008E3A37" w:rsidP="008F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>BPP</w:t>
            </w:r>
          </w:p>
        </w:tc>
        <w:tc>
          <w:tcPr>
            <w:tcW w:w="1805" w:type="dxa"/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proofErr w:type="gram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 xml:space="preserve">. </w:t>
            </w:r>
          </w:p>
        </w:tc>
        <w:tc>
          <w:tcPr>
            <w:tcW w:w="1660" w:type="dxa"/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</w:p>
        </w:tc>
      </w:tr>
      <w:tr w:rsidR="008E3A37" w:rsidRPr="008F0E66" w:rsidTr="008F0E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pStyle w:val="ListParagraph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>Membuat pengajuan SPJ LS beserta dokumen pendukung SPJ Pengadaan barang/jasa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>BPP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proofErr w:type="gram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>, SPJ</w:t>
            </w:r>
          </w:p>
        </w:tc>
      </w:tr>
      <w:tr w:rsidR="008E3A37" w:rsidRPr="008F0E66" w:rsidTr="008F0E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pStyle w:val="ListParagraph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 xml:space="preserve">Memverifikasi  pengajuan SPJ LS beserta dokumen pendukung SPJ Pengadaan barang/jasa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>Kasubag  Keuangan dan Kepegawaian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PD II.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>, SPJ</w:t>
            </w:r>
          </w:p>
        </w:tc>
      </w:tr>
      <w:tr w:rsidR="008E3A37" w:rsidRPr="008F0E66" w:rsidTr="008F0E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pStyle w:val="ListParagraph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 xml:space="preserve">mengesahkan pengajuan SPJ LS beserta dokumen pendukung SPJ Pengadaan barang/jasa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>PD II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>, SPJ</w:t>
            </w:r>
          </w:p>
        </w:tc>
      </w:tr>
      <w:tr w:rsidR="008E3A37" w:rsidRPr="008F0E66" w:rsidTr="008F0E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pStyle w:val="ListParagraph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>Mengirimkan  dokumen pengadaan barang/ jasa dan pengajuan SPJ LS ke bagian keuangan rektorat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>BPP/ Staf Keuangan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proofErr w:type="gram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  <w:r w:rsidRPr="008F0E6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>, SPJ</w:t>
            </w:r>
          </w:p>
        </w:tc>
      </w:tr>
      <w:tr w:rsidR="008E3A37" w:rsidRPr="008F0E66" w:rsidTr="008F0E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pStyle w:val="ListParagraph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>Memantau proses pencairan dana pembayaran pengadaan barang dan jasa oleh bagian keuangan kantor pusat apakah telah dicairkan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F0E66">
              <w:rPr>
                <w:rFonts w:ascii="Arial" w:hAnsi="Arial" w:cs="Arial"/>
                <w:sz w:val="20"/>
                <w:szCs w:val="20"/>
                <w:lang w:val="sv-SE"/>
              </w:rPr>
              <w:t>Kasubag  Keuangan dan Kepegawaian, BPP, Staf Keuangan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0E66">
              <w:rPr>
                <w:rFonts w:ascii="Arial" w:hAnsi="Arial" w:cs="Arial"/>
                <w:bCs/>
                <w:sz w:val="20"/>
                <w:szCs w:val="20"/>
              </w:rPr>
              <w:t>PD II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37" w:rsidRPr="008F0E66" w:rsidRDefault="008E3A37" w:rsidP="008F0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F0E66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8F0E66">
              <w:rPr>
                <w:rFonts w:ascii="Arial" w:hAnsi="Arial" w:cs="Arial"/>
                <w:sz w:val="20"/>
                <w:szCs w:val="20"/>
              </w:rPr>
              <w:t>, SPJ</w:t>
            </w:r>
          </w:p>
        </w:tc>
      </w:tr>
    </w:tbl>
    <w:p w:rsidR="008E3A37" w:rsidRPr="008F0E66" w:rsidRDefault="008E3A37" w:rsidP="008E3A37">
      <w:pPr>
        <w:widowControl/>
        <w:rPr>
          <w:rFonts w:ascii="Arial" w:hAnsi="Arial" w:cs="Arial"/>
          <w:sz w:val="20"/>
          <w:szCs w:val="20"/>
        </w:rPr>
      </w:pPr>
      <w:r w:rsidRPr="008F0E66">
        <w:rPr>
          <w:rFonts w:ascii="Arial" w:hAnsi="Arial" w:cs="Arial"/>
          <w:sz w:val="20"/>
          <w:szCs w:val="20"/>
        </w:rPr>
        <w:br w:type="page"/>
      </w:r>
      <w:r w:rsidRPr="008F0E66">
        <w:rPr>
          <w:rFonts w:ascii="Arial" w:hAnsi="Arial" w:cs="Arial"/>
          <w:noProof/>
          <w:sz w:val="20"/>
          <w:szCs w:val="20"/>
          <w:lang w:val="id-ID"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137803</wp:posOffset>
            </wp:positionH>
            <wp:positionV relativeFrom="paragraph">
              <wp:posOffset>261900</wp:posOffset>
            </wp:positionV>
            <wp:extent cx="5645480" cy="533202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80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0E66">
        <w:rPr>
          <w:rFonts w:ascii="Arial" w:hAnsi="Arial" w:cs="Arial"/>
          <w:sz w:val="20"/>
          <w:szCs w:val="20"/>
        </w:rPr>
        <w:t>Flowchart</w:t>
      </w:r>
    </w:p>
    <w:p w:rsidR="008E3A37" w:rsidRPr="008F0E66" w:rsidRDefault="008E3A37" w:rsidP="008E3A37">
      <w:pPr>
        <w:widowControl/>
        <w:rPr>
          <w:rFonts w:ascii="Arial" w:hAnsi="Arial" w:cs="Arial"/>
          <w:sz w:val="20"/>
          <w:szCs w:val="20"/>
        </w:rPr>
      </w:pPr>
    </w:p>
    <w:p w:rsidR="008E3A37" w:rsidRPr="008F0E66" w:rsidRDefault="008E3A37" w:rsidP="008E3A37">
      <w:pPr>
        <w:rPr>
          <w:rFonts w:ascii="Arial" w:hAnsi="Arial" w:cs="Arial"/>
          <w:sz w:val="20"/>
          <w:szCs w:val="20"/>
        </w:rPr>
      </w:pPr>
    </w:p>
    <w:sectPr w:rsidR="008E3A37" w:rsidRPr="008F0E66" w:rsidSect="00CD6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55" w:rsidRPr="00F0215C" w:rsidRDefault="00AF5B55" w:rsidP="008E3A37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AF5B55" w:rsidRPr="00F0215C" w:rsidRDefault="00AF5B55" w:rsidP="008E3A37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1E" w:rsidRDefault="00D463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1E" w:rsidRDefault="00D463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1E" w:rsidRDefault="00D46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55" w:rsidRPr="00F0215C" w:rsidRDefault="00AF5B55" w:rsidP="008E3A37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AF5B55" w:rsidRPr="00F0215C" w:rsidRDefault="00AF5B55" w:rsidP="008E3A37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1E" w:rsidRDefault="00D463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43"/>
      <w:gridCol w:w="1307"/>
      <w:gridCol w:w="819"/>
      <w:gridCol w:w="5387"/>
    </w:tblGrid>
    <w:tr w:rsidR="008E3A37" w:rsidRPr="008F0E66" w:rsidTr="008F0E66">
      <w:trPr>
        <w:trHeight w:val="1970"/>
      </w:trPr>
      <w:tc>
        <w:tcPr>
          <w:tcW w:w="3150" w:type="dxa"/>
          <w:gridSpan w:val="2"/>
          <w:shd w:val="clear" w:color="auto" w:fill="auto"/>
        </w:tcPr>
        <w:p w:rsidR="008E3A37" w:rsidRPr="008F0E66" w:rsidRDefault="008E3A37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2"/>
            </w:rPr>
          </w:pPr>
        </w:p>
        <w:p w:rsidR="008E3A37" w:rsidRPr="008F0E66" w:rsidRDefault="008E3A37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2"/>
              <w:lang w:val="id-ID"/>
            </w:rPr>
          </w:pPr>
          <w:r w:rsidRPr="008F0E66">
            <w:rPr>
              <w:rFonts w:ascii="Arial" w:hAnsi="Arial" w:cs="Arial"/>
              <w:b/>
              <w:noProof/>
              <w:sz w:val="22"/>
              <w:lang w:val="id-ID" w:eastAsia="id-ID"/>
            </w:rPr>
            <w:drawing>
              <wp:inline distT="0" distB="0" distL="0" distR="0">
                <wp:extent cx="1437005" cy="112839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6" w:type="dxa"/>
          <w:gridSpan w:val="2"/>
          <w:shd w:val="clear" w:color="auto" w:fill="auto"/>
          <w:vAlign w:val="center"/>
        </w:tcPr>
        <w:p w:rsidR="00D4631E" w:rsidRDefault="00D4631E" w:rsidP="00D4631E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8E3A37" w:rsidRPr="008F0E66" w:rsidRDefault="008E3A37" w:rsidP="008F0E66">
          <w:pPr>
            <w:pStyle w:val="Header"/>
            <w:jc w:val="center"/>
            <w:rPr>
              <w:rFonts w:ascii="Arial" w:hAnsi="Arial" w:cs="Arial"/>
              <w:sz w:val="22"/>
            </w:rPr>
          </w:pPr>
          <w:r w:rsidRPr="008F0E66">
            <w:rPr>
              <w:rFonts w:ascii="Arial" w:hAnsi="Arial" w:cs="Arial"/>
              <w:sz w:val="22"/>
            </w:rPr>
            <w:t xml:space="preserve">SUB BAG KEUANGAN </w:t>
          </w:r>
          <w:r w:rsidR="008F0E66">
            <w:rPr>
              <w:rFonts w:ascii="Arial" w:hAnsi="Arial" w:cs="Arial"/>
              <w:sz w:val="22"/>
              <w:lang w:val="id-ID"/>
            </w:rPr>
            <w:t>&amp;</w:t>
          </w:r>
          <w:r w:rsidRPr="008F0E66">
            <w:rPr>
              <w:rFonts w:ascii="Arial" w:hAnsi="Arial" w:cs="Arial"/>
              <w:sz w:val="22"/>
            </w:rPr>
            <w:t xml:space="preserve"> KEPEGAWAIAN</w:t>
          </w:r>
        </w:p>
      </w:tc>
    </w:tr>
    <w:tr w:rsidR="008E3A37" w:rsidRPr="008F0E66" w:rsidTr="008F0E6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8E3A37" w:rsidRPr="008F0E66" w:rsidRDefault="008E3A37" w:rsidP="003E6A8C">
          <w:pPr>
            <w:pStyle w:val="Header"/>
            <w:spacing w:before="40" w:after="40"/>
            <w:rPr>
              <w:rFonts w:ascii="Arial" w:hAnsi="Arial" w:cs="Arial"/>
              <w:sz w:val="22"/>
              <w:lang w:val="id-ID"/>
            </w:rPr>
          </w:pPr>
          <w:r w:rsidRPr="008F0E66">
            <w:rPr>
              <w:rFonts w:ascii="Arial" w:hAnsi="Arial" w:cs="Arial"/>
              <w:sz w:val="22"/>
              <w:lang w:val="id-ID"/>
            </w:rPr>
            <w:t>Nomor</w:t>
          </w:r>
        </w:p>
      </w:tc>
      <w:tc>
        <w:tcPr>
          <w:tcW w:w="2126" w:type="dxa"/>
          <w:gridSpan w:val="2"/>
          <w:shd w:val="clear" w:color="auto" w:fill="auto"/>
          <w:vAlign w:val="center"/>
        </w:tcPr>
        <w:p w:rsidR="008E3A37" w:rsidRPr="008F0E66" w:rsidRDefault="008E3A37" w:rsidP="003E6A8C">
          <w:pPr>
            <w:pStyle w:val="Header"/>
            <w:spacing w:before="40" w:after="40"/>
            <w:rPr>
              <w:rFonts w:ascii="Arial" w:hAnsi="Arial" w:cs="Arial"/>
              <w:sz w:val="22"/>
            </w:rPr>
          </w:pPr>
          <w:r w:rsidRPr="008F0E66">
            <w:rPr>
              <w:rFonts w:ascii="Arial" w:hAnsi="Arial" w:cs="Arial"/>
              <w:sz w:val="22"/>
            </w:rPr>
            <w:t xml:space="preserve"> </w:t>
          </w:r>
          <w:r w:rsidR="008E7DE4" w:rsidRPr="008F0E66">
            <w:rPr>
              <w:rFonts w:ascii="Arial" w:hAnsi="Arial" w:cs="Arial"/>
              <w:sz w:val="22"/>
            </w:rPr>
            <w:t>UN27-F1.PM-61</w:t>
          </w:r>
        </w:p>
      </w:tc>
      <w:tc>
        <w:tcPr>
          <w:tcW w:w="5387" w:type="dxa"/>
          <w:vMerge w:val="restart"/>
          <w:shd w:val="clear" w:color="auto" w:fill="auto"/>
          <w:vAlign w:val="center"/>
        </w:tcPr>
        <w:p w:rsidR="008E3A37" w:rsidRPr="008F0E66" w:rsidRDefault="008E3A37" w:rsidP="003E6A8C">
          <w:pPr>
            <w:spacing w:after="0" w:line="240" w:lineRule="auto"/>
            <w:jc w:val="center"/>
            <w:rPr>
              <w:rFonts w:ascii="Arial" w:hAnsi="Arial" w:cs="Arial"/>
              <w:b/>
              <w:sz w:val="22"/>
            </w:rPr>
          </w:pPr>
          <w:r w:rsidRPr="008F0E66">
            <w:rPr>
              <w:rFonts w:ascii="Arial" w:hAnsi="Arial" w:cs="Arial"/>
              <w:b/>
              <w:sz w:val="22"/>
            </w:rPr>
            <w:t>PROSEDUR MUTU</w:t>
          </w:r>
        </w:p>
        <w:p w:rsidR="008E3A37" w:rsidRPr="008F0E66" w:rsidRDefault="008E3A37" w:rsidP="003E6A8C">
          <w:pPr>
            <w:spacing w:after="0" w:line="240" w:lineRule="auto"/>
            <w:jc w:val="center"/>
            <w:rPr>
              <w:rFonts w:ascii="Arial" w:hAnsi="Arial" w:cs="Arial"/>
              <w:sz w:val="22"/>
            </w:rPr>
          </w:pPr>
          <w:r w:rsidRPr="008F0E66">
            <w:rPr>
              <w:rFonts w:ascii="Arial" w:hAnsi="Arial" w:cs="Arial"/>
              <w:b/>
              <w:sz w:val="22"/>
            </w:rPr>
            <w:t>PEMBAYARAN PENGADAAN BARANG DAN JASA MELALUI MEKANISME LS</w:t>
          </w:r>
        </w:p>
      </w:tc>
    </w:tr>
    <w:tr w:rsidR="008E3A37" w:rsidRPr="008F0E66" w:rsidTr="008F0E6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8E3A37" w:rsidRPr="008F0E66" w:rsidRDefault="008E3A37" w:rsidP="003E6A8C">
          <w:pPr>
            <w:pStyle w:val="Header"/>
            <w:spacing w:before="40" w:after="40"/>
            <w:rPr>
              <w:rFonts w:ascii="Arial" w:hAnsi="Arial" w:cs="Arial"/>
              <w:sz w:val="22"/>
              <w:lang w:val="id-ID"/>
            </w:rPr>
          </w:pPr>
          <w:r w:rsidRPr="008F0E66">
            <w:rPr>
              <w:rFonts w:ascii="Arial" w:hAnsi="Arial" w:cs="Arial"/>
              <w:sz w:val="22"/>
              <w:lang w:val="id-ID"/>
            </w:rPr>
            <w:t>Tanggal Terbit</w:t>
          </w:r>
        </w:p>
      </w:tc>
      <w:tc>
        <w:tcPr>
          <w:tcW w:w="2126" w:type="dxa"/>
          <w:gridSpan w:val="2"/>
          <w:shd w:val="clear" w:color="auto" w:fill="auto"/>
          <w:vAlign w:val="center"/>
        </w:tcPr>
        <w:p w:rsidR="008E3A37" w:rsidRPr="008F0E66" w:rsidRDefault="008E3A37" w:rsidP="003E6A8C">
          <w:pPr>
            <w:pStyle w:val="Header"/>
            <w:spacing w:before="40" w:after="40"/>
            <w:rPr>
              <w:rFonts w:ascii="Arial" w:hAnsi="Arial" w:cs="Arial"/>
              <w:sz w:val="22"/>
            </w:rPr>
          </w:pPr>
          <w:r w:rsidRPr="008F0E66">
            <w:rPr>
              <w:rFonts w:ascii="Arial" w:hAnsi="Arial" w:cs="Arial"/>
              <w:sz w:val="22"/>
            </w:rPr>
            <w:t xml:space="preserve">3 </w:t>
          </w:r>
          <w:proofErr w:type="spellStart"/>
          <w:r w:rsidRPr="008F0E66">
            <w:rPr>
              <w:rFonts w:ascii="Arial" w:hAnsi="Arial" w:cs="Arial"/>
              <w:sz w:val="22"/>
            </w:rPr>
            <w:t>Juni</w:t>
          </w:r>
          <w:proofErr w:type="spellEnd"/>
          <w:r w:rsidRPr="008F0E66">
            <w:rPr>
              <w:rFonts w:ascii="Arial" w:hAnsi="Arial" w:cs="Arial"/>
              <w:sz w:val="22"/>
            </w:rPr>
            <w:t xml:space="preserve"> 2013</w:t>
          </w:r>
        </w:p>
      </w:tc>
      <w:tc>
        <w:tcPr>
          <w:tcW w:w="5387" w:type="dxa"/>
          <w:vMerge/>
          <w:shd w:val="clear" w:color="auto" w:fill="auto"/>
        </w:tcPr>
        <w:p w:rsidR="008E3A37" w:rsidRPr="008F0E66" w:rsidRDefault="008E3A37" w:rsidP="003E6A8C">
          <w:pPr>
            <w:pStyle w:val="Header"/>
            <w:spacing w:before="40" w:after="40"/>
            <w:rPr>
              <w:rFonts w:ascii="Arial" w:hAnsi="Arial" w:cs="Arial"/>
              <w:sz w:val="22"/>
              <w:lang w:val="id-ID"/>
            </w:rPr>
          </w:pPr>
        </w:p>
      </w:tc>
    </w:tr>
    <w:tr w:rsidR="008E3A37" w:rsidRPr="008F0E66" w:rsidTr="008F0E6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8E3A37" w:rsidRPr="008F0E66" w:rsidRDefault="008E3A37" w:rsidP="003E6A8C">
          <w:pPr>
            <w:pStyle w:val="Header"/>
            <w:spacing w:before="40" w:after="40"/>
            <w:rPr>
              <w:rFonts w:ascii="Arial" w:hAnsi="Arial" w:cs="Arial"/>
              <w:sz w:val="22"/>
              <w:lang w:val="id-ID"/>
            </w:rPr>
          </w:pPr>
          <w:r w:rsidRPr="008F0E66">
            <w:rPr>
              <w:rFonts w:ascii="Arial" w:hAnsi="Arial" w:cs="Arial"/>
              <w:sz w:val="22"/>
              <w:lang w:val="id-ID"/>
            </w:rPr>
            <w:t>Revisi</w:t>
          </w:r>
        </w:p>
      </w:tc>
      <w:tc>
        <w:tcPr>
          <w:tcW w:w="2126" w:type="dxa"/>
          <w:gridSpan w:val="2"/>
          <w:shd w:val="clear" w:color="auto" w:fill="auto"/>
          <w:vAlign w:val="center"/>
        </w:tcPr>
        <w:p w:rsidR="008E3A37" w:rsidRPr="008F0E66" w:rsidRDefault="008E3A37" w:rsidP="003E6A8C">
          <w:pPr>
            <w:pStyle w:val="Header"/>
            <w:spacing w:before="40" w:after="40"/>
            <w:rPr>
              <w:rFonts w:ascii="Arial" w:hAnsi="Arial" w:cs="Arial"/>
              <w:sz w:val="22"/>
            </w:rPr>
          </w:pPr>
          <w:r w:rsidRPr="008F0E66">
            <w:rPr>
              <w:rFonts w:ascii="Arial" w:hAnsi="Arial" w:cs="Arial"/>
              <w:sz w:val="22"/>
            </w:rPr>
            <w:t>00</w:t>
          </w:r>
        </w:p>
      </w:tc>
      <w:tc>
        <w:tcPr>
          <w:tcW w:w="5387" w:type="dxa"/>
          <w:vMerge/>
          <w:shd w:val="clear" w:color="auto" w:fill="auto"/>
        </w:tcPr>
        <w:p w:rsidR="008E3A37" w:rsidRPr="008F0E66" w:rsidRDefault="008E3A37" w:rsidP="003E6A8C">
          <w:pPr>
            <w:pStyle w:val="Header"/>
            <w:spacing w:before="40" w:after="40"/>
            <w:rPr>
              <w:rFonts w:ascii="Arial" w:hAnsi="Arial" w:cs="Arial"/>
              <w:sz w:val="22"/>
              <w:lang w:val="id-ID"/>
            </w:rPr>
          </w:pPr>
        </w:p>
      </w:tc>
    </w:tr>
    <w:tr w:rsidR="008E3A37" w:rsidRPr="008F0E66" w:rsidTr="008F0E6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8E3A37" w:rsidRPr="008F0E66" w:rsidRDefault="008E3A37" w:rsidP="003E6A8C">
          <w:pPr>
            <w:pStyle w:val="Header"/>
            <w:spacing w:before="40" w:after="40"/>
            <w:rPr>
              <w:rFonts w:ascii="Arial" w:hAnsi="Arial" w:cs="Arial"/>
              <w:sz w:val="22"/>
              <w:lang w:val="id-ID"/>
            </w:rPr>
          </w:pPr>
          <w:r w:rsidRPr="008F0E66">
            <w:rPr>
              <w:rFonts w:ascii="Arial" w:hAnsi="Arial" w:cs="Arial"/>
              <w:sz w:val="22"/>
              <w:lang w:val="id-ID"/>
            </w:rPr>
            <w:t>Halaman</w:t>
          </w:r>
        </w:p>
      </w:tc>
      <w:tc>
        <w:tcPr>
          <w:tcW w:w="2126" w:type="dxa"/>
          <w:gridSpan w:val="2"/>
          <w:shd w:val="clear" w:color="auto" w:fill="auto"/>
          <w:vAlign w:val="center"/>
        </w:tcPr>
        <w:p w:rsidR="008E3A37" w:rsidRPr="008F0E66" w:rsidRDefault="002D4BC8" w:rsidP="003E6A8C">
          <w:pPr>
            <w:pStyle w:val="Header"/>
            <w:spacing w:before="40" w:after="40"/>
            <w:rPr>
              <w:rFonts w:ascii="Arial" w:hAnsi="Arial" w:cs="Arial"/>
              <w:sz w:val="22"/>
            </w:rPr>
          </w:pPr>
          <w:r w:rsidRPr="008F0E66">
            <w:rPr>
              <w:rFonts w:ascii="Arial" w:hAnsi="Arial" w:cs="Arial"/>
              <w:sz w:val="22"/>
            </w:rPr>
            <w:fldChar w:fldCharType="begin"/>
          </w:r>
          <w:r w:rsidR="008E3A37" w:rsidRPr="008F0E66">
            <w:rPr>
              <w:rFonts w:ascii="Arial" w:hAnsi="Arial" w:cs="Arial"/>
              <w:sz w:val="22"/>
            </w:rPr>
            <w:instrText xml:space="preserve"> PAGE </w:instrText>
          </w:r>
          <w:r w:rsidRPr="008F0E66">
            <w:rPr>
              <w:rFonts w:ascii="Arial" w:hAnsi="Arial" w:cs="Arial"/>
              <w:sz w:val="22"/>
            </w:rPr>
            <w:fldChar w:fldCharType="separate"/>
          </w:r>
          <w:r w:rsidR="00D4631E">
            <w:rPr>
              <w:rFonts w:ascii="Arial" w:hAnsi="Arial" w:cs="Arial"/>
              <w:noProof/>
              <w:sz w:val="22"/>
            </w:rPr>
            <w:t>1</w:t>
          </w:r>
          <w:r w:rsidRPr="008F0E66">
            <w:rPr>
              <w:rFonts w:ascii="Arial" w:hAnsi="Arial" w:cs="Arial"/>
              <w:sz w:val="22"/>
            </w:rPr>
            <w:fldChar w:fldCharType="end"/>
          </w:r>
          <w:r w:rsidR="008E3A37" w:rsidRPr="008F0E66">
            <w:rPr>
              <w:rFonts w:ascii="Arial" w:hAnsi="Arial" w:cs="Arial"/>
              <w:sz w:val="22"/>
            </w:rPr>
            <w:t>/</w:t>
          </w:r>
          <w:r w:rsidRPr="008F0E66">
            <w:rPr>
              <w:rFonts w:ascii="Arial" w:hAnsi="Arial" w:cs="Arial"/>
              <w:sz w:val="22"/>
            </w:rPr>
            <w:fldChar w:fldCharType="begin"/>
          </w:r>
          <w:r w:rsidR="008E3A37" w:rsidRPr="008F0E66">
            <w:rPr>
              <w:rFonts w:ascii="Arial" w:hAnsi="Arial" w:cs="Arial"/>
              <w:sz w:val="22"/>
            </w:rPr>
            <w:instrText xml:space="preserve"> NUMPAGES  </w:instrText>
          </w:r>
          <w:r w:rsidRPr="008F0E66">
            <w:rPr>
              <w:rFonts w:ascii="Arial" w:hAnsi="Arial" w:cs="Arial"/>
              <w:sz w:val="22"/>
            </w:rPr>
            <w:fldChar w:fldCharType="separate"/>
          </w:r>
          <w:r w:rsidR="00D4631E">
            <w:rPr>
              <w:rFonts w:ascii="Arial" w:hAnsi="Arial" w:cs="Arial"/>
              <w:noProof/>
              <w:sz w:val="22"/>
            </w:rPr>
            <w:t>3</w:t>
          </w:r>
          <w:r w:rsidRPr="008F0E66">
            <w:rPr>
              <w:rFonts w:ascii="Arial" w:hAnsi="Arial" w:cs="Arial"/>
              <w:sz w:val="22"/>
            </w:rPr>
            <w:fldChar w:fldCharType="end"/>
          </w:r>
        </w:p>
      </w:tc>
      <w:tc>
        <w:tcPr>
          <w:tcW w:w="5387" w:type="dxa"/>
          <w:vMerge/>
          <w:shd w:val="clear" w:color="auto" w:fill="auto"/>
        </w:tcPr>
        <w:p w:rsidR="008E3A37" w:rsidRPr="008F0E66" w:rsidRDefault="008E3A37" w:rsidP="003E6A8C">
          <w:pPr>
            <w:pStyle w:val="Header"/>
            <w:spacing w:before="40" w:after="40"/>
            <w:rPr>
              <w:rFonts w:ascii="Arial" w:hAnsi="Arial" w:cs="Arial"/>
              <w:sz w:val="22"/>
              <w:lang w:val="id-ID"/>
            </w:rPr>
          </w:pPr>
        </w:p>
      </w:tc>
    </w:tr>
  </w:tbl>
  <w:p w:rsidR="008E3A37" w:rsidRDefault="008E3A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1E" w:rsidRDefault="00D46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E92"/>
    <w:multiLevelType w:val="hybridMultilevel"/>
    <w:tmpl w:val="734A3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24E6"/>
    <w:multiLevelType w:val="hybridMultilevel"/>
    <w:tmpl w:val="A02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A37"/>
    <w:rsid w:val="001023B1"/>
    <w:rsid w:val="00167D73"/>
    <w:rsid w:val="002D4BC8"/>
    <w:rsid w:val="002E6EE0"/>
    <w:rsid w:val="005E30C4"/>
    <w:rsid w:val="00770F4D"/>
    <w:rsid w:val="008E3A37"/>
    <w:rsid w:val="008E7DE4"/>
    <w:rsid w:val="008F0E66"/>
    <w:rsid w:val="00A47FA2"/>
    <w:rsid w:val="00AF5B55"/>
    <w:rsid w:val="00CD6BAF"/>
    <w:rsid w:val="00D4631E"/>
    <w:rsid w:val="00ED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37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37"/>
  </w:style>
  <w:style w:type="paragraph" w:styleId="Footer">
    <w:name w:val="footer"/>
    <w:basedOn w:val="Normal"/>
    <w:link w:val="FooterChar"/>
    <w:uiPriority w:val="99"/>
    <w:semiHidden/>
    <w:unhideWhenUsed/>
    <w:rsid w:val="008E3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A37"/>
  </w:style>
  <w:style w:type="paragraph" w:styleId="BalloonText">
    <w:name w:val="Balloon Text"/>
    <w:basedOn w:val="Normal"/>
    <w:link w:val="BalloonTextChar"/>
    <w:uiPriority w:val="99"/>
    <w:semiHidden/>
    <w:unhideWhenUsed/>
    <w:rsid w:val="008E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4</cp:revision>
  <dcterms:created xsi:type="dcterms:W3CDTF">2013-10-02T07:01:00Z</dcterms:created>
  <dcterms:modified xsi:type="dcterms:W3CDTF">2013-11-03T07:04:00Z</dcterms:modified>
</cp:coreProperties>
</file>