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229"/>
      </w:tblGrid>
      <w:tr w:rsidR="002A6AB0" w:rsidRPr="00410184" w:rsidTr="002A6AB0">
        <w:trPr>
          <w:trHeight w:val="850"/>
        </w:trPr>
        <w:tc>
          <w:tcPr>
            <w:tcW w:w="2127" w:type="dxa"/>
          </w:tcPr>
          <w:p w:rsidR="002A6AB0" w:rsidRPr="00410184" w:rsidRDefault="002A6AB0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184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29" w:type="dxa"/>
          </w:tcPr>
          <w:p w:rsidR="002A6AB0" w:rsidRPr="00410184" w:rsidRDefault="002A6AB0" w:rsidP="003E6A8C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mengatur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tata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cara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perencanaan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pembuatan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tahunan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UNS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agar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efisien</w:t>
            </w:r>
            <w:proofErr w:type="spellEnd"/>
          </w:p>
        </w:tc>
      </w:tr>
      <w:tr w:rsidR="002A6AB0" w:rsidRPr="00410184" w:rsidTr="002A6AB0">
        <w:trPr>
          <w:trHeight w:val="368"/>
        </w:trPr>
        <w:tc>
          <w:tcPr>
            <w:tcW w:w="2127" w:type="dxa"/>
          </w:tcPr>
          <w:p w:rsidR="002A6AB0" w:rsidRPr="00410184" w:rsidRDefault="002A6AB0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29" w:type="dxa"/>
          </w:tcPr>
          <w:p w:rsidR="002A6AB0" w:rsidRPr="00B751D5" w:rsidRDefault="002A6AB0" w:rsidP="00B751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Aktivitas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dilakukan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Sub. </w:t>
            </w: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 xml:space="preserve">Bagian Keuangan Fakultas di .UNS.Sumber dana berasal dari SPP (Sumbangan Penyelenggaraan Pendidikan), BPI (Biaya Pengembangan Institusi),  dan Uang Laboratorium yang disetor ke Pusat (Rektorat) serta dana kerjasama antara Fakultas </w:t>
            </w:r>
            <w:r w:rsidR="00B751D5">
              <w:rPr>
                <w:rFonts w:ascii="Arial" w:hAnsi="Arial" w:cs="Arial"/>
                <w:sz w:val="20"/>
                <w:szCs w:val="20"/>
                <w:lang w:val="id-ID"/>
              </w:rPr>
              <w:t xml:space="preserve">dil </w:t>
            </w: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 xml:space="preserve">UNS dengan Instansi </w:t>
            </w:r>
            <w:r w:rsidR="00B751D5">
              <w:rPr>
                <w:rFonts w:ascii="Arial" w:hAnsi="Arial" w:cs="Arial"/>
                <w:sz w:val="20"/>
                <w:szCs w:val="20"/>
                <w:lang w:val="id-ID"/>
              </w:rPr>
              <w:t>lain</w:t>
            </w:r>
          </w:p>
        </w:tc>
      </w:tr>
      <w:tr w:rsidR="002A6AB0" w:rsidRPr="00410184" w:rsidTr="002A6AB0">
        <w:trPr>
          <w:trHeight w:val="1277"/>
        </w:trPr>
        <w:tc>
          <w:tcPr>
            <w:tcW w:w="2127" w:type="dxa"/>
          </w:tcPr>
          <w:p w:rsidR="002A6AB0" w:rsidRPr="00410184" w:rsidRDefault="002A6AB0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29" w:type="dxa"/>
          </w:tcPr>
          <w:p w:rsidR="002A6AB0" w:rsidRPr="00410184" w:rsidRDefault="002A6AB0" w:rsidP="002A6AB0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Direktur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Jenderal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Perbendaharaan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No. Per-66/PB/2005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28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Desember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2005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Mekanisme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Beban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Pendapatan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Belanja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Negara</w:t>
            </w:r>
          </w:p>
          <w:p w:rsidR="002A6AB0" w:rsidRPr="00410184" w:rsidRDefault="002A6AB0" w:rsidP="002A6AB0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84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110A/UN27/KU/2012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PK-BLU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Sebelas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Maret</w:t>
            </w:r>
            <w:proofErr w:type="spellEnd"/>
          </w:p>
          <w:p w:rsidR="002A6AB0" w:rsidRPr="00410184" w:rsidRDefault="002A6AB0" w:rsidP="002A6AB0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Rencana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Strategi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Bisnis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</w:p>
          <w:p w:rsidR="002A6AB0" w:rsidRPr="00410184" w:rsidRDefault="002A6AB0" w:rsidP="002A6AB0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ISO 9001:2008 </w:t>
            </w:r>
            <w:proofErr w:type="spellStart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 7.5 </w:t>
            </w:r>
            <w:proofErr w:type="spellStart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Produksi</w:t>
            </w:r>
            <w:proofErr w:type="spellEnd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Penyedia</w:t>
            </w:r>
            <w:proofErr w:type="spellEnd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Jasa</w:t>
            </w:r>
            <w:proofErr w:type="spellEnd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8.2 </w:t>
            </w:r>
            <w:proofErr w:type="spellStart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Pemantauan</w:t>
            </w:r>
            <w:proofErr w:type="spellEnd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Pengukuran</w:t>
            </w:r>
            <w:proofErr w:type="spellEnd"/>
          </w:p>
        </w:tc>
      </w:tr>
      <w:tr w:rsidR="002A6AB0" w:rsidRPr="00410184" w:rsidTr="002A6AB0">
        <w:trPr>
          <w:trHeight w:val="512"/>
        </w:trPr>
        <w:tc>
          <w:tcPr>
            <w:tcW w:w="2127" w:type="dxa"/>
          </w:tcPr>
          <w:p w:rsidR="002A6AB0" w:rsidRPr="00410184" w:rsidRDefault="002A6AB0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29" w:type="dxa"/>
          </w:tcPr>
          <w:p w:rsidR="002A6AB0" w:rsidRPr="00410184" w:rsidRDefault="002A6AB0" w:rsidP="002A6A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84">
              <w:rPr>
                <w:rFonts w:ascii="Arial" w:hAnsi="Arial" w:cs="Arial"/>
                <w:sz w:val="20"/>
                <w:szCs w:val="20"/>
              </w:rPr>
              <w:t>RAB</w:t>
            </w:r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tahunan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rangka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kelancaran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memenuhi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kebutuhan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</w:p>
        </w:tc>
      </w:tr>
      <w:tr w:rsidR="002A6AB0" w:rsidRPr="00410184" w:rsidTr="002A6AB0">
        <w:trPr>
          <w:trHeight w:val="581"/>
        </w:trPr>
        <w:tc>
          <w:tcPr>
            <w:tcW w:w="2127" w:type="dxa"/>
          </w:tcPr>
          <w:p w:rsidR="002A6AB0" w:rsidRPr="00410184" w:rsidRDefault="002A6AB0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29" w:type="dxa"/>
          </w:tcPr>
          <w:p w:rsidR="002A6AB0" w:rsidRPr="00410184" w:rsidRDefault="002A6AB0" w:rsidP="002A6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84">
              <w:rPr>
                <w:rFonts w:ascii="Arial" w:hAnsi="Arial" w:cs="Arial"/>
                <w:sz w:val="20"/>
                <w:szCs w:val="20"/>
              </w:rPr>
              <w:t>Draft RAB</w:t>
            </w:r>
          </w:p>
          <w:p w:rsidR="002A6AB0" w:rsidRPr="00410184" w:rsidRDefault="002A6AB0" w:rsidP="002A6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84">
              <w:rPr>
                <w:rFonts w:ascii="Arial" w:hAnsi="Arial" w:cs="Arial"/>
                <w:sz w:val="20"/>
                <w:szCs w:val="20"/>
              </w:rPr>
              <w:t xml:space="preserve">Draft RAB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Revisi</w:t>
            </w:r>
            <w:proofErr w:type="spellEnd"/>
          </w:p>
        </w:tc>
      </w:tr>
      <w:tr w:rsidR="002A6AB0" w:rsidRPr="00410184" w:rsidTr="002A6AB0">
        <w:trPr>
          <w:trHeight w:val="377"/>
        </w:trPr>
        <w:tc>
          <w:tcPr>
            <w:tcW w:w="2127" w:type="dxa"/>
          </w:tcPr>
          <w:p w:rsidR="002A6AB0" w:rsidRPr="00410184" w:rsidRDefault="002A6AB0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0184">
              <w:rPr>
                <w:rFonts w:ascii="Arial" w:hAnsi="Arial" w:cs="Arial"/>
                <w:b/>
                <w:sz w:val="20"/>
                <w:szCs w:val="20"/>
              </w:rPr>
              <w:t>Sasaran</w:t>
            </w:r>
            <w:proofErr w:type="spellEnd"/>
            <w:r w:rsidRPr="004101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b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7229" w:type="dxa"/>
          </w:tcPr>
          <w:p w:rsidR="002A6AB0" w:rsidRPr="00410184" w:rsidRDefault="002A6AB0" w:rsidP="003E6A8C">
            <w:pPr>
              <w:widowControl/>
              <w:autoSpaceDE w:val="0"/>
              <w:autoSpaceDN w:val="0"/>
              <w:adjustRightInd w:val="0"/>
              <w:spacing w:after="0" w:line="287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Perencanaan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</w:rPr>
              <w:t>efisien</w:t>
            </w:r>
            <w:proofErr w:type="spellEnd"/>
          </w:p>
        </w:tc>
      </w:tr>
    </w:tbl>
    <w:p w:rsidR="002A6AB0" w:rsidRPr="00410184" w:rsidRDefault="002A6AB0">
      <w:pPr>
        <w:rPr>
          <w:rFonts w:ascii="Arial" w:hAnsi="Arial" w:cs="Arial"/>
          <w:sz w:val="20"/>
          <w:szCs w:val="20"/>
        </w:rPr>
      </w:pPr>
    </w:p>
    <w:p w:rsidR="002A6AB0" w:rsidRPr="00410184" w:rsidRDefault="002A6AB0" w:rsidP="00410184">
      <w:pPr>
        <w:widowControl/>
        <w:rPr>
          <w:rFonts w:ascii="Arial" w:hAnsi="Arial" w:cs="Arial"/>
          <w:b/>
          <w:sz w:val="20"/>
          <w:szCs w:val="20"/>
        </w:rPr>
      </w:pPr>
      <w:proofErr w:type="spellStart"/>
      <w:r w:rsidRPr="00410184">
        <w:rPr>
          <w:rFonts w:ascii="Arial" w:hAnsi="Arial" w:cs="Arial"/>
          <w:b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527"/>
        <w:gridCol w:w="1664"/>
        <w:gridCol w:w="1683"/>
        <w:gridCol w:w="1910"/>
      </w:tblGrid>
      <w:tr w:rsidR="002A6AB0" w:rsidRPr="00410184" w:rsidTr="00410184">
        <w:tc>
          <w:tcPr>
            <w:tcW w:w="566" w:type="dxa"/>
            <w:shd w:val="clear" w:color="auto" w:fill="BFBFBF"/>
          </w:tcPr>
          <w:p w:rsidR="002A6AB0" w:rsidRPr="00410184" w:rsidRDefault="002A6AB0" w:rsidP="004101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18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32" w:type="dxa"/>
            <w:shd w:val="clear" w:color="auto" w:fill="BFBFBF"/>
          </w:tcPr>
          <w:p w:rsidR="002A6AB0" w:rsidRPr="00410184" w:rsidRDefault="002A6AB0" w:rsidP="004101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410184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410184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665" w:type="dxa"/>
            <w:shd w:val="clear" w:color="auto" w:fill="BFBFBF"/>
          </w:tcPr>
          <w:p w:rsidR="002A6AB0" w:rsidRPr="00410184" w:rsidRDefault="002A6AB0" w:rsidP="004101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683" w:type="dxa"/>
            <w:shd w:val="clear" w:color="auto" w:fill="BFBFBF"/>
          </w:tcPr>
          <w:p w:rsidR="002A6AB0" w:rsidRPr="00410184" w:rsidRDefault="002A6AB0" w:rsidP="004101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910" w:type="dxa"/>
            <w:shd w:val="clear" w:color="auto" w:fill="BFBFBF"/>
          </w:tcPr>
          <w:p w:rsidR="002A6AB0" w:rsidRPr="00410184" w:rsidRDefault="002A6AB0" w:rsidP="004101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2A6AB0" w:rsidRPr="00410184" w:rsidTr="00410184">
        <w:trPr>
          <w:trHeight w:val="651"/>
        </w:trPr>
        <w:tc>
          <w:tcPr>
            <w:tcW w:w="566" w:type="dxa"/>
          </w:tcPr>
          <w:p w:rsidR="002A6AB0" w:rsidRPr="00410184" w:rsidRDefault="002A6AB0" w:rsidP="00410184">
            <w:pPr>
              <w:pStyle w:val="ListParagraph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2" w:type="dxa"/>
          </w:tcPr>
          <w:p w:rsidR="002A6AB0" w:rsidRPr="00410184" w:rsidRDefault="002A6AB0" w:rsidP="00410184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Merekap semua kuitansi yang akan dipertanggungjawabkan (di SPJ kan)</w:t>
            </w:r>
          </w:p>
        </w:tc>
        <w:tc>
          <w:tcPr>
            <w:tcW w:w="1665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683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10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410184">
              <w:rPr>
                <w:rFonts w:ascii="Arial" w:hAnsi="Arial" w:cs="Arial"/>
                <w:sz w:val="20"/>
                <w:szCs w:val="20"/>
                <w:lang w:val="en-AU"/>
              </w:rPr>
              <w:t>Kuitansi,Dokumen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sz w:val="20"/>
                <w:szCs w:val="20"/>
                <w:lang w:val="en-AU"/>
              </w:rPr>
              <w:t>Pendukung</w:t>
            </w:r>
            <w:proofErr w:type="spellEnd"/>
            <w:r w:rsidRPr="00410184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</w:p>
        </w:tc>
      </w:tr>
      <w:tr w:rsidR="002A6AB0" w:rsidRPr="00410184" w:rsidTr="00410184">
        <w:tc>
          <w:tcPr>
            <w:tcW w:w="566" w:type="dxa"/>
          </w:tcPr>
          <w:p w:rsidR="002A6AB0" w:rsidRPr="00410184" w:rsidRDefault="002A6AB0" w:rsidP="00410184">
            <w:pPr>
              <w:pStyle w:val="ListParagraph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2" w:type="dxa"/>
          </w:tcPr>
          <w:p w:rsidR="002A6AB0" w:rsidRPr="00410184" w:rsidRDefault="002A6AB0" w:rsidP="00410184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Membuat SPJ beserta berkas berkas lampirannya</w:t>
            </w:r>
          </w:p>
        </w:tc>
        <w:tc>
          <w:tcPr>
            <w:tcW w:w="1665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BPP/ Staf Keuangan</w:t>
            </w:r>
          </w:p>
        </w:tc>
        <w:tc>
          <w:tcPr>
            <w:tcW w:w="1683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10" w:type="dxa"/>
          </w:tcPr>
          <w:p w:rsidR="002A6AB0" w:rsidRPr="00410184" w:rsidRDefault="002A6AB0" w:rsidP="0041018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10184">
              <w:rPr>
                <w:rFonts w:ascii="Arial" w:hAnsi="Arial" w:cs="Arial"/>
                <w:sz w:val="20"/>
                <w:szCs w:val="20"/>
              </w:rPr>
              <w:t>SPJ</w:t>
            </w:r>
          </w:p>
        </w:tc>
      </w:tr>
      <w:tr w:rsidR="002A6AB0" w:rsidRPr="00410184" w:rsidTr="00410184">
        <w:tc>
          <w:tcPr>
            <w:tcW w:w="566" w:type="dxa"/>
          </w:tcPr>
          <w:p w:rsidR="002A6AB0" w:rsidRPr="00410184" w:rsidRDefault="002A6AB0" w:rsidP="00410184">
            <w:pPr>
              <w:pStyle w:val="ListParagraph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2" w:type="dxa"/>
          </w:tcPr>
          <w:p w:rsidR="002A6AB0" w:rsidRPr="00410184" w:rsidRDefault="002A6AB0" w:rsidP="00410184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Mengajukan SPJ ke Kasubag Keu Kepeg dan PD II untuk mendapat persetujuan</w:t>
            </w:r>
          </w:p>
        </w:tc>
        <w:tc>
          <w:tcPr>
            <w:tcW w:w="1665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BPP/ Staf Keuangan</w:t>
            </w:r>
          </w:p>
        </w:tc>
        <w:tc>
          <w:tcPr>
            <w:tcW w:w="1683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PD II</w:t>
            </w:r>
          </w:p>
          <w:p w:rsidR="002A6AB0" w:rsidRPr="00410184" w:rsidRDefault="002A6AB0" w:rsidP="0041018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910" w:type="dxa"/>
          </w:tcPr>
          <w:p w:rsidR="002A6AB0" w:rsidRPr="00410184" w:rsidRDefault="002A6AB0" w:rsidP="0041018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sz w:val="20"/>
                <w:szCs w:val="20"/>
              </w:rPr>
              <w:t>SPJ</w:t>
            </w:r>
          </w:p>
        </w:tc>
      </w:tr>
      <w:tr w:rsidR="002A6AB0" w:rsidRPr="00410184" w:rsidTr="00410184">
        <w:tc>
          <w:tcPr>
            <w:tcW w:w="566" w:type="dxa"/>
          </w:tcPr>
          <w:p w:rsidR="002A6AB0" w:rsidRPr="00410184" w:rsidRDefault="002A6AB0" w:rsidP="00410184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2" w:type="dxa"/>
          </w:tcPr>
          <w:p w:rsidR="002A6AB0" w:rsidRPr="00410184" w:rsidRDefault="002A6AB0" w:rsidP="00410184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id-ID"/>
              </w:rPr>
              <w:t>Mel</w:t>
            </w:r>
            <w:r w:rsidR="00410184"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  <w:r w:rsidRPr="00410184">
              <w:rPr>
                <w:rFonts w:ascii="Arial" w:hAnsi="Arial" w:cs="Arial"/>
                <w:sz w:val="20"/>
                <w:szCs w:val="20"/>
                <w:lang w:val="id-ID"/>
              </w:rPr>
              <w:t xml:space="preserve">kukan cek dan atau menyetujui </w:t>
            </w:r>
          </w:p>
        </w:tc>
        <w:tc>
          <w:tcPr>
            <w:tcW w:w="1665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id-ID"/>
              </w:rPr>
              <w:t>PDII</w:t>
            </w:r>
          </w:p>
        </w:tc>
        <w:tc>
          <w:tcPr>
            <w:tcW w:w="1683" w:type="dxa"/>
          </w:tcPr>
          <w:p w:rsidR="002A6AB0" w:rsidRPr="00410184" w:rsidRDefault="002A6AB0" w:rsidP="0041018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id-ID"/>
              </w:rPr>
              <w:t>Dekan</w:t>
            </w:r>
          </w:p>
        </w:tc>
        <w:tc>
          <w:tcPr>
            <w:tcW w:w="1910" w:type="dxa"/>
          </w:tcPr>
          <w:p w:rsidR="002A6AB0" w:rsidRPr="00410184" w:rsidRDefault="002A6AB0" w:rsidP="0041018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B0" w:rsidRPr="00410184" w:rsidTr="00410184">
        <w:tc>
          <w:tcPr>
            <w:tcW w:w="566" w:type="dxa"/>
          </w:tcPr>
          <w:p w:rsidR="002A6AB0" w:rsidRPr="00410184" w:rsidRDefault="002A6AB0" w:rsidP="00410184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2" w:type="dxa"/>
          </w:tcPr>
          <w:p w:rsidR="002A6AB0" w:rsidRPr="00410184" w:rsidRDefault="002A6AB0" w:rsidP="00410184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Penyerahan kembali SPJ yang telah disetujui PD II dan disahkan</w:t>
            </w:r>
          </w:p>
        </w:tc>
        <w:tc>
          <w:tcPr>
            <w:tcW w:w="1665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BPP/ Staf Keuangan</w:t>
            </w:r>
          </w:p>
        </w:tc>
        <w:tc>
          <w:tcPr>
            <w:tcW w:w="1683" w:type="dxa"/>
          </w:tcPr>
          <w:p w:rsidR="002A6AB0" w:rsidRPr="00410184" w:rsidRDefault="002A6AB0" w:rsidP="0041018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PD II</w:t>
            </w:r>
          </w:p>
        </w:tc>
        <w:tc>
          <w:tcPr>
            <w:tcW w:w="1910" w:type="dxa"/>
          </w:tcPr>
          <w:p w:rsidR="002A6AB0" w:rsidRPr="00410184" w:rsidRDefault="002A6AB0" w:rsidP="0041018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sz w:val="20"/>
                <w:szCs w:val="20"/>
              </w:rPr>
              <w:t>SPJ</w:t>
            </w:r>
          </w:p>
        </w:tc>
      </w:tr>
      <w:tr w:rsidR="002A6AB0" w:rsidRPr="00410184" w:rsidTr="00410184">
        <w:tc>
          <w:tcPr>
            <w:tcW w:w="566" w:type="dxa"/>
          </w:tcPr>
          <w:p w:rsidR="002A6AB0" w:rsidRPr="00410184" w:rsidRDefault="002A6AB0" w:rsidP="00410184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2" w:type="dxa"/>
          </w:tcPr>
          <w:p w:rsidR="002A6AB0" w:rsidRPr="00410184" w:rsidRDefault="002A6AB0" w:rsidP="00410184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 xml:space="preserve">Membuat Wasdit (Pengawasan Kredit) sesuai  dengan jumlah </w:t>
            </w: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kuitansi yang diSPJkan</w:t>
            </w:r>
          </w:p>
        </w:tc>
        <w:tc>
          <w:tcPr>
            <w:tcW w:w="1665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BPP/ Staf Keuangan</w:t>
            </w:r>
          </w:p>
        </w:tc>
        <w:tc>
          <w:tcPr>
            <w:tcW w:w="1683" w:type="dxa"/>
          </w:tcPr>
          <w:p w:rsidR="002A6AB0" w:rsidRPr="00410184" w:rsidRDefault="002A6AB0" w:rsidP="0041018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lastRenderedPageBreak/>
              <w:t>Kepegawaian</w:t>
            </w:r>
            <w:proofErr w:type="spellEnd"/>
          </w:p>
        </w:tc>
        <w:tc>
          <w:tcPr>
            <w:tcW w:w="1910" w:type="dxa"/>
          </w:tcPr>
          <w:p w:rsidR="002A6AB0" w:rsidRPr="00410184" w:rsidRDefault="002A6AB0" w:rsidP="0041018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sz w:val="20"/>
                <w:szCs w:val="20"/>
              </w:rPr>
              <w:lastRenderedPageBreak/>
              <w:t>SPJ</w:t>
            </w:r>
          </w:p>
        </w:tc>
      </w:tr>
      <w:tr w:rsidR="002A6AB0" w:rsidRPr="00410184" w:rsidTr="00410184">
        <w:tc>
          <w:tcPr>
            <w:tcW w:w="566" w:type="dxa"/>
          </w:tcPr>
          <w:p w:rsidR="002A6AB0" w:rsidRPr="00410184" w:rsidRDefault="002A6AB0" w:rsidP="00410184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2" w:type="dxa"/>
          </w:tcPr>
          <w:p w:rsidR="002A6AB0" w:rsidRPr="00410184" w:rsidRDefault="002A6AB0" w:rsidP="00410184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Mengirim berkas pengajuan SPJ ke Bagian Keuangan Kantor Pusat</w:t>
            </w:r>
          </w:p>
        </w:tc>
        <w:tc>
          <w:tcPr>
            <w:tcW w:w="1665" w:type="dxa"/>
          </w:tcPr>
          <w:p w:rsidR="002A6AB0" w:rsidRPr="00410184" w:rsidRDefault="002A6AB0" w:rsidP="00410184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BPP/ Staf Keuangan</w:t>
            </w:r>
          </w:p>
        </w:tc>
        <w:tc>
          <w:tcPr>
            <w:tcW w:w="1683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10" w:type="dxa"/>
          </w:tcPr>
          <w:p w:rsidR="002A6AB0" w:rsidRPr="00410184" w:rsidRDefault="002A6AB0" w:rsidP="0041018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sz w:val="20"/>
                <w:szCs w:val="20"/>
              </w:rPr>
              <w:t>SPJ</w:t>
            </w:r>
          </w:p>
        </w:tc>
      </w:tr>
      <w:tr w:rsidR="002A6AB0" w:rsidRPr="00410184" w:rsidTr="00410184">
        <w:trPr>
          <w:trHeight w:val="385"/>
        </w:trPr>
        <w:tc>
          <w:tcPr>
            <w:tcW w:w="566" w:type="dxa"/>
          </w:tcPr>
          <w:p w:rsidR="002A6AB0" w:rsidRPr="00410184" w:rsidRDefault="002A6AB0" w:rsidP="00410184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2" w:type="dxa"/>
          </w:tcPr>
          <w:p w:rsidR="002A6AB0" w:rsidRPr="00410184" w:rsidRDefault="002A6AB0" w:rsidP="00410184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Mengarsip</w:t>
            </w:r>
          </w:p>
        </w:tc>
        <w:tc>
          <w:tcPr>
            <w:tcW w:w="1665" w:type="dxa"/>
          </w:tcPr>
          <w:p w:rsidR="002A6AB0" w:rsidRPr="00410184" w:rsidRDefault="002A6AB0" w:rsidP="00410184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0184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683" w:type="dxa"/>
          </w:tcPr>
          <w:p w:rsidR="002A6AB0" w:rsidRPr="00410184" w:rsidRDefault="002A6AB0" w:rsidP="00410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4101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10184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10" w:type="dxa"/>
          </w:tcPr>
          <w:p w:rsidR="002A6AB0" w:rsidRPr="00410184" w:rsidRDefault="002A6AB0" w:rsidP="0041018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10184">
              <w:rPr>
                <w:rFonts w:ascii="Arial" w:hAnsi="Arial" w:cs="Arial"/>
                <w:sz w:val="20"/>
                <w:szCs w:val="20"/>
              </w:rPr>
              <w:t>SPJ</w:t>
            </w:r>
          </w:p>
        </w:tc>
      </w:tr>
    </w:tbl>
    <w:p w:rsidR="002A6AB0" w:rsidRPr="00410184" w:rsidRDefault="002A6AB0">
      <w:pPr>
        <w:rPr>
          <w:rFonts w:ascii="Arial" w:hAnsi="Arial" w:cs="Arial"/>
          <w:sz w:val="20"/>
          <w:szCs w:val="20"/>
        </w:rPr>
      </w:pPr>
    </w:p>
    <w:p w:rsidR="002A6AB0" w:rsidRPr="00410184" w:rsidRDefault="002A6AB0">
      <w:pPr>
        <w:widowControl/>
        <w:rPr>
          <w:rFonts w:ascii="Arial" w:hAnsi="Arial" w:cs="Arial"/>
          <w:sz w:val="20"/>
          <w:szCs w:val="20"/>
        </w:rPr>
      </w:pPr>
      <w:r w:rsidRPr="00410184">
        <w:rPr>
          <w:rFonts w:ascii="Arial" w:hAnsi="Arial" w:cs="Arial"/>
          <w:sz w:val="20"/>
          <w:szCs w:val="20"/>
        </w:rPr>
        <w:br w:type="page"/>
      </w:r>
    </w:p>
    <w:p w:rsidR="002A6AB0" w:rsidRPr="00410184" w:rsidRDefault="002A6AB0" w:rsidP="002A6AB0">
      <w:pPr>
        <w:widowControl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10184">
        <w:rPr>
          <w:rFonts w:ascii="Arial" w:hAnsi="Arial" w:cs="Arial"/>
          <w:b/>
          <w:i/>
          <w:sz w:val="20"/>
          <w:szCs w:val="20"/>
        </w:rPr>
        <w:lastRenderedPageBreak/>
        <w:t>Flowchart</w:t>
      </w:r>
    </w:p>
    <w:p w:rsidR="002A6AB0" w:rsidRPr="00410184" w:rsidRDefault="002A6AB0" w:rsidP="002A6AB0">
      <w:pPr>
        <w:rPr>
          <w:rFonts w:ascii="Arial" w:hAnsi="Arial" w:cs="Arial"/>
          <w:sz w:val="20"/>
          <w:szCs w:val="20"/>
        </w:rPr>
      </w:pPr>
      <w:r w:rsidRPr="00410184"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113813</wp:posOffset>
            </wp:positionV>
            <wp:extent cx="5966114" cy="507076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4" cy="507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AB0" w:rsidRPr="00410184" w:rsidSect="00CD6B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71" w:rsidRPr="00F0215C" w:rsidRDefault="00A73271" w:rsidP="002A6AB0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A73271" w:rsidRPr="00F0215C" w:rsidRDefault="00A73271" w:rsidP="002A6AB0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71" w:rsidRPr="00F0215C" w:rsidRDefault="00A73271" w:rsidP="002A6AB0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A73271" w:rsidRPr="00F0215C" w:rsidRDefault="00A73271" w:rsidP="002A6AB0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43"/>
      <w:gridCol w:w="1307"/>
      <w:gridCol w:w="720"/>
      <w:gridCol w:w="5486"/>
    </w:tblGrid>
    <w:tr w:rsidR="002A6AB0" w:rsidRPr="00410184" w:rsidTr="00410184">
      <w:trPr>
        <w:trHeight w:val="1970"/>
      </w:trPr>
      <w:tc>
        <w:tcPr>
          <w:tcW w:w="3150" w:type="dxa"/>
          <w:gridSpan w:val="2"/>
          <w:shd w:val="clear" w:color="auto" w:fill="auto"/>
        </w:tcPr>
        <w:p w:rsidR="002A6AB0" w:rsidRPr="00410184" w:rsidRDefault="002A6AB0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2A6AB0" w:rsidRPr="00410184" w:rsidRDefault="002A6AB0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410184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437005" cy="11283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shd w:val="clear" w:color="auto" w:fill="auto"/>
          <w:vAlign w:val="center"/>
        </w:tcPr>
        <w:p w:rsidR="00B751D5" w:rsidRDefault="00B751D5" w:rsidP="00B751D5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2A6AB0" w:rsidRPr="00410184" w:rsidRDefault="002A6AB0" w:rsidP="00410184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410184">
            <w:rPr>
              <w:rFonts w:ascii="Arial" w:hAnsi="Arial" w:cs="Arial"/>
              <w:sz w:val="20"/>
              <w:szCs w:val="20"/>
            </w:rPr>
            <w:t xml:space="preserve">SUB BAG KEUANGAN </w:t>
          </w:r>
          <w:r w:rsidR="00410184">
            <w:rPr>
              <w:rFonts w:ascii="Arial" w:hAnsi="Arial" w:cs="Arial"/>
              <w:sz w:val="20"/>
              <w:szCs w:val="20"/>
              <w:lang w:val="id-ID"/>
            </w:rPr>
            <w:t>&amp;</w:t>
          </w:r>
          <w:r w:rsidRPr="00410184">
            <w:rPr>
              <w:rFonts w:ascii="Arial" w:hAnsi="Arial" w:cs="Arial"/>
              <w:sz w:val="20"/>
              <w:szCs w:val="20"/>
            </w:rPr>
            <w:t xml:space="preserve"> KEPEGAWAIAN</w:t>
          </w:r>
        </w:p>
      </w:tc>
    </w:tr>
    <w:tr w:rsidR="002A6AB0" w:rsidRPr="00410184" w:rsidTr="0041018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2A6AB0" w:rsidRPr="00410184" w:rsidRDefault="002A6AB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10184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2A6AB0" w:rsidRPr="00410184" w:rsidRDefault="002A6AB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10184">
            <w:rPr>
              <w:rFonts w:ascii="Arial" w:hAnsi="Arial" w:cs="Arial"/>
              <w:sz w:val="20"/>
              <w:szCs w:val="20"/>
            </w:rPr>
            <w:t xml:space="preserve"> </w:t>
          </w:r>
          <w:r w:rsidR="006C6B2A" w:rsidRPr="00410184">
            <w:rPr>
              <w:rFonts w:ascii="Arial" w:hAnsi="Arial" w:cs="Arial"/>
              <w:sz w:val="20"/>
              <w:szCs w:val="20"/>
            </w:rPr>
            <w:t>UN27-F1.PM-58</w:t>
          </w:r>
        </w:p>
      </w:tc>
      <w:tc>
        <w:tcPr>
          <w:tcW w:w="5486" w:type="dxa"/>
          <w:vMerge w:val="restart"/>
          <w:shd w:val="clear" w:color="auto" w:fill="auto"/>
          <w:vAlign w:val="center"/>
        </w:tcPr>
        <w:p w:rsidR="002A6AB0" w:rsidRPr="00410184" w:rsidRDefault="002A6AB0" w:rsidP="003E6A8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410184">
            <w:rPr>
              <w:rFonts w:ascii="Arial" w:hAnsi="Arial" w:cs="Arial"/>
              <w:b/>
              <w:sz w:val="20"/>
              <w:szCs w:val="20"/>
              <w:lang w:val="es-ES"/>
            </w:rPr>
            <w:t>PROSEDUR MUTU</w:t>
          </w:r>
        </w:p>
        <w:p w:rsidR="002A6AB0" w:rsidRPr="00410184" w:rsidRDefault="002A6AB0" w:rsidP="003E6A8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10184">
            <w:rPr>
              <w:rFonts w:ascii="Arial" w:hAnsi="Arial" w:cs="Arial"/>
              <w:b/>
              <w:sz w:val="20"/>
              <w:szCs w:val="20"/>
              <w:lang w:val="es-ES"/>
            </w:rPr>
            <w:t>PENGENDALIAN PENGGUNAAN ANGGARAN (GU)</w:t>
          </w:r>
        </w:p>
      </w:tc>
    </w:tr>
    <w:tr w:rsidR="002A6AB0" w:rsidRPr="00410184" w:rsidTr="0041018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2A6AB0" w:rsidRPr="00410184" w:rsidRDefault="002A6AB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10184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2A6AB0" w:rsidRPr="00410184" w:rsidRDefault="002A6AB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10184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410184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410184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486" w:type="dxa"/>
          <w:vMerge/>
          <w:shd w:val="clear" w:color="auto" w:fill="auto"/>
        </w:tcPr>
        <w:p w:rsidR="002A6AB0" w:rsidRPr="00410184" w:rsidRDefault="002A6AB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2A6AB0" w:rsidRPr="00410184" w:rsidTr="0041018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2A6AB0" w:rsidRPr="00410184" w:rsidRDefault="002A6AB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10184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2A6AB0" w:rsidRPr="00410184" w:rsidRDefault="002A6AB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10184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486" w:type="dxa"/>
          <w:vMerge/>
          <w:shd w:val="clear" w:color="auto" w:fill="auto"/>
        </w:tcPr>
        <w:p w:rsidR="002A6AB0" w:rsidRPr="00410184" w:rsidRDefault="002A6AB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2A6AB0" w:rsidRPr="00410184" w:rsidTr="0041018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2A6AB0" w:rsidRPr="00410184" w:rsidRDefault="002A6AB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10184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2A6AB0" w:rsidRPr="00410184" w:rsidRDefault="00F84A0E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10184">
            <w:rPr>
              <w:rFonts w:ascii="Arial" w:hAnsi="Arial" w:cs="Arial"/>
              <w:sz w:val="20"/>
              <w:szCs w:val="20"/>
            </w:rPr>
            <w:fldChar w:fldCharType="begin"/>
          </w:r>
          <w:r w:rsidR="002A6AB0" w:rsidRPr="0041018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10184">
            <w:rPr>
              <w:rFonts w:ascii="Arial" w:hAnsi="Arial" w:cs="Arial"/>
              <w:sz w:val="20"/>
              <w:szCs w:val="20"/>
            </w:rPr>
            <w:fldChar w:fldCharType="separate"/>
          </w:r>
          <w:r w:rsidR="00B751D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410184">
            <w:rPr>
              <w:rFonts w:ascii="Arial" w:hAnsi="Arial" w:cs="Arial"/>
              <w:sz w:val="20"/>
              <w:szCs w:val="20"/>
            </w:rPr>
            <w:fldChar w:fldCharType="end"/>
          </w:r>
          <w:r w:rsidR="002A6AB0" w:rsidRPr="00410184">
            <w:rPr>
              <w:rFonts w:ascii="Arial" w:hAnsi="Arial" w:cs="Arial"/>
              <w:sz w:val="20"/>
              <w:szCs w:val="20"/>
            </w:rPr>
            <w:t>/</w:t>
          </w:r>
          <w:r w:rsidRPr="00410184">
            <w:rPr>
              <w:rFonts w:ascii="Arial" w:hAnsi="Arial" w:cs="Arial"/>
              <w:sz w:val="20"/>
              <w:szCs w:val="20"/>
            </w:rPr>
            <w:fldChar w:fldCharType="begin"/>
          </w:r>
          <w:r w:rsidR="002A6AB0" w:rsidRPr="00410184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10184">
            <w:rPr>
              <w:rFonts w:ascii="Arial" w:hAnsi="Arial" w:cs="Arial"/>
              <w:sz w:val="20"/>
              <w:szCs w:val="20"/>
            </w:rPr>
            <w:fldChar w:fldCharType="separate"/>
          </w:r>
          <w:r w:rsidR="00B751D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410184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486" w:type="dxa"/>
          <w:vMerge/>
          <w:shd w:val="clear" w:color="auto" w:fill="auto"/>
        </w:tcPr>
        <w:p w:rsidR="002A6AB0" w:rsidRPr="00410184" w:rsidRDefault="002A6AB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2A6AB0" w:rsidRDefault="002A6A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946"/>
    <w:multiLevelType w:val="hybridMultilevel"/>
    <w:tmpl w:val="BD04CB6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131F2E22"/>
    <w:multiLevelType w:val="hybridMultilevel"/>
    <w:tmpl w:val="F198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02C9F"/>
    <w:multiLevelType w:val="hybridMultilevel"/>
    <w:tmpl w:val="02EA4032"/>
    <w:lvl w:ilvl="0" w:tplc="DCC4E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70C6E"/>
    <w:multiLevelType w:val="hybridMultilevel"/>
    <w:tmpl w:val="B08A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AB0"/>
    <w:rsid w:val="001023B1"/>
    <w:rsid w:val="00203BB9"/>
    <w:rsid w:val="002A6AB0"/>
    <w:rsid w:val="003B3E69"/>
    <w:rsid w:val="00410184"/>
    <w:rsid w:val="006C6B2A"/>
    <w:rsid w:val="007B0BD7"/>
    <w:rsid w:val="00A73271"/>
    <w:rsid w:val="00B751D5"/>
    <w:rsid w:val="00CD6BAF"/>
    <w:rsid w:val="00DA071B"/>
    <w:rsid w:val="00E24DC3"/>
    <w:rsid w:val="00ED4CC2"/>
    <w:rsid w:val="00F8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B0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B0"/>
  </w:style>
  <w:style w:type="paragraph" w:styleId="Footer">
    <w:name w:val="footer"/>
    <w:basedOn w:val="Normal"/>
    <w:link w:val="FooterChar"/>
    <w:uiPriority w:val="99"/>
    <w:semiHidden/>
    <w:unhideWhenUsed/>
    <w:rsid w:val="002A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AB0"/>
  </w:style>
  <w:style w:type="paragraph" w:styleId="BalloonText">
    <w:name w:val="Balloon Text"/>
    <w:basedOn w:val="Normal"/>
    <w:link w:val="BalloonTextChar"/>
    <w:uiPriority w:val="99"/>
    <w:semiHidden/>
    <w:unhideWhenUsed/>
    <w:rsid w:val="002A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4</cp:revision>
  <dcterms:created xsi:type="dcterms:W3CDTF">2013-10-02T06:43:00Z</dcterms:created>
  <dcterms:modified xsi:type="dcterms:W3CDTF">2013-11-03T07:05:00Z</dcterms:modified>
</cp:coreProperties>
</file>